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D5" w:rsidRPr="00B642F2" w:rsidRDefault="00467FD5" w:rsidP="00467FD5">
      <w:pPr>
        <w:spacing w:before="240" w:after="240" w:line="360" w:lineRule="auto"/>
        <w:jc w:val="both"/>
        <w:rPr>
          <w:rFonts w:ascii="Palatino Linotype" w:hAnsi="Palatino Linotype" w:cs="Arial"/>
          <w:b/>
          <w:color w:val="000000" w:themeColor="text1"/>
          <w:sz w:val="24"/>
          <w:szCs w:val="24"/>
        </w:rPr>
      </w:pPr>
      <w:r w:rsidRPr="00B642F2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VOTO PARTICULAR DEL COMISIONADO JOSÉ GUADALUPE LUNA HERNÁNDEZ EN EL RECURSO DE REVISIÓN </w:t>
      </w:r>
      <w:r w:rsidR="000F6B22">
        <w:rPr>
          <w:rFonts w:ascii="Palatino Linotype" w:hAnsi="Palatino Linotype"/>
          <w:b/>
          <w:color w:val="000000" w:themeColor="text1"/>
          <w:sz w:val="24"/>
          <w:szCs w:val="24"/>
        </w:rPr>
        <w:t>01357/INFOEM/IP/RR/2019</w:t>
      </w:r>
      <w:r w:rsidRPr="00B642F2">
        <w:rPr>
          <w:rFonts w:ascii="Palatino Linotype" w:hAnsi="Palatino Linotype" w:cs="Arial"/>
          <w:b/>
          <w:color w:val="000000" w:themeColor="text1"/>
          <w:sz w:val="24"/>
          <w:szCs w:val="24"/>
        </w:rPr>
        <w:t>.</w:t>
      </w:r>
    </w:p>
    <w:sdt>
      <w:sdtPr>
        <w:rPr>
          <w:rFonts w:ascii="Palatino Linotype" w:eastAsiaTheme="minorHAnsi" w:hAnsi="Palatino Linotype" w:cstheme="minorBidi"/>
          <w:b/>
          <w:color w:val="000000" w:themeColor="text1"/>
          <w:sz w:val="24"/>
          <w:szCs w:val="24"/>
          <w:lang w:val="es-ES" w:eastAsia="en-US"/>
        </w:rPr>
        <w:id w:val="-133922382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467FD5" w:rsidRDefault="00467FD5" w:rsidP="00467FD5">
          <w:pPr>
            <w:pStyle w:val="TtulodeTDC"/>
            <w:jc w:val="center"/>
            <w:rPr>
              <w:rFonts w:ascii="Palatino Linotype" w:hAnsi="Palatino Linotype"/>
              <w:b/>
              <w:color w:val="000000" w:themeColor="text1"/>
              <w:sz w:val="24"/>
              <w:szCs w:val="24"/>
              <w:lang w:val="es-ES"/>
            </w:rPr>
          </w:pPr>
          <w:r w:rsidRPr="00174994">
            <w:rPr>
              <w:rFonts w:ascii="Palatino Linotype" w:hAnsi="Palatino Linotype"/>
              <w:b/>
              <w:color w:val="000000" w:themeColor="text1"/>
              <w:sz w:val="24"/>
              <w:szCs w:val="24"/>
              <w:lang w:val="es-ES"/>
            </w:rPr>
            <w:t>Índice</w:t>
          </w:r>
        </w:p>
        <w:p w:rsidR="00467FD5" w:rsidRPr="00174994" w:rsidRDefault="00467FD5" w:rsidP="00467FD5">
          <w:pPr>
            <w:rPr>
              <w:lang w:val="es-ES" w:eastAsia="es-MX"/>
            </w:rPr>
          </w:pPr>
        </w:p>
        <w:p w:rsidR="00030642" w:rsidRDefault="00467FD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r w:rsidRPr="00174994">
            <w:rPr>
              <w:rFonts w:ascii="Palatino Linotype" w:hAnsi="Palatino Linotype"/>
              <w:b/>
              <w:color w:val="000000" w:themeColor="text1"/>
              <w:sz w:val="24"/>
              <w:szCs w:val="24"/>
            </w:rPr>
            <w:fldChar w:fldCharType="begin"/>
          </w:r>
          <w:r w:rsidRPr="00174994">
            <w:rPr>
              <w:rFonts w:ascii="Palatino Linotype" w:hAnsi="Palatino Linotype"/>
              <w:b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174994">
            <w:rPr>
              <w:rFonts w:ascii="Palatino Linotype" w:hAnsi="Palatino Linotype"/>
              <w:b/>
              <w:color w:val="000000" w:themeColor="text1"/>
              <w:sz w:val="24"/>
              <w:szCs w:val="24"/>
            </w:rPr>
            <w:fldChar w:fldCharType="separate"/>
          </w:r>
          <w:hyperlink w:anchor="_Toc9862129" w:history="1">
            <w:r w:rsidR="00030642" w:rsidRPr="00205F78">
              <w:rPr>
                <w:rStyle w:val="Hipervnculo"/>
                <w:rFonts w:ascii="Palatino Linotype" w:hAnsi="Palatino Linotype"/>
                <w:b/>
                <w:noProof/>
              </w:rPr>
              <w:t>I. Consideraciones Generales</w:t>
            </w:r>
            <w:r w:rsidR="00030642">
              <w:rPr>
                <w:noProof/>
                <w:webHidden/>
              </w:rPr>
              <w:tab/>
            </w:r>
            <w:r w:rsidR="00030642">
              <w:rPr>
                <w:noProof/>
                <w:webHidden/>
              </w:rPr>
              <w:fldChar w:fldCharType="begin"/>
            </w:r>
            <w:r w:rsidR="00030642">
              <w:rPr>
                <w:noProof/>
                <w:webHidden/>
              </w:rPr>
              <w:instrText xml:space="preserve"> PAGEREF _Toc9862129 \h </w:instrText>
            </w:r>
            <w:r w:rsidR="00030642">
              <w:rPr>
                <w:noProof/>
                <w:webHidden/>
              </w:rPr>
            </w:r>
            <w:r w:rsidR="00030642">
              <w:rPr>
                <w:noProof/>
                <w:webHidden/>
              </w:rPr>
              <w:fldChar w:fldCharType="separate"/>
            </w:r>
            <w:r w:rsidR="00030642">
              <w:rPr>
                <w:noProof/>
                <w:webHidden/>
              </w:rPr>
              <w:t>2</w:t>
            </w:r>
            <w:r w:rsidR="00030642">
              <w:rPr>
                <w:noProof/>
                <w:webHidden/>
              </w:rPr>
              <w:fldChar w:fldCharType="end"/>
            </w:r>
          </w:hyperlink>
        </w:p>
        <w:p w:rsidR="00030642" w:rsidRDefault="00735FB4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9862130" w:history="1">
            <w:r w:rsidR="00030642" w:rsidRPr="00205F78">
              <w:rPr>
                <w:rStyle w:val="Hipervnculo"/>
                <w:rFonts w:ascii="Palatino Linotype" w:hAnsi="Palatino Linotype"/>
                <w:b/>
                <w:noProof/>
              </w:rPr>
              <w:t>II. Del Procedimiento de Acceso a la Información Pública.</w:t>
            </w:r>
            <w:r w:rsidR="00030642">
              <w:rPr>
                <w:noProof/>
                <w:webHidden/>
              </w:rPr>
              <w:tab/>
            </w:r>
            <w:r w:rsidR="00030642">
              <w:rPr>
                <w:noProof/>
                <w:webHidden/>
              </w:rPr>
              <w:fldChar w:fldCharType="begin"/>
            </w:r>
            <w:r w:rsidR="00030642">
              <w:rPr>
                <w:noProof/>
                <w:webHidden/>
              </w:rPr>
              <w:instrText xml:space="preserve"> PAGEREF _Toc9862130 \h </w:instrText>
            </w:r>
            <w:r w:rsidR="00030642">
              <w:rPr>
                <w:noProof/>
                <w:webHidden/>
              </w:rPr>
            </w:r>
            <w:r w:rsidR="00030642">
              <w:rPr>
                <w:noProof/>
                <w:webHidden/>
              </w:rPr>
              <w:fldChar w:fldCharType="separate"/>
            </w:r>
            <w:r w:rsidR="00030642">
              <w:rPr>
                <w:noProof/>
                <w:webHidden/>
              </w:rPr>
              <w:t>3</w:t>
            </w:r>
            <w:r w:rsidR="00030642">
              <w:rPr>
                <w:noProof/>
                <w:webHidden/>
              </w:rPr>
              <w:fldChar w:fldCharType="end"/>
            </w:r>
          </w:hyperlink>
        </w:p>
        <w:p w:rsidR="00E9629B" w:rsidRPr="00030642" w:rsidRDefault="00467FD5" w:rsidP="00467FD5">
          <w:pPr>
            <w:rPr>
              <w:rFonts w:ascii="Palatino Linotype" w:hAnsi="Palatino Linotype"/>
              <w:b/>
              <w:color w:val="000000" w:themeColor="text1"/>
              <w:sz w:val="24"/>
              <w:szCs w:val="24"/>
            </w:rPr>
          </w:pPr>
          <w:r w:rsidRPr="00174994">
            <w:rPr>
              <w:rFonts w:ascii="Palatino Linotype" w:hAnsi="Palatino Linotype"/>
              <w:b/>
              <w:bCs/>
              <w:color w:val="000000" w:themeColor="text1"/>
              <w:sz w:val="24"/>
              <w:szCs w:val="24"/>
              <w:lang w:val="es-ES"/>
            </w:rPr>
            <w:fldChar w:fldCharType="end"/>
          </w:r>
        </w:p>
      </w:sdtContent>
    </w:sdt>
    <w:p w:rsidR="00467FD5" w:rsidRPr="00174994" w:rsidRDefault="00467FD5" w:rsidP="00467FD5">
      <w:pPr>
        <w:pStyle w:val="Ttulo1"/>
        <w:tabs>
          <w:tab w:val="left" w:pos="426"/>
        </w:tabs>
        <w:ind w:right="49"/>
        <w:rPr>
          <w:rFonts w:ascii="Palatino Linotype" w:hAnsi="Palatino Linotype"/>
          <w:b/>
          <w:color w:val="000000" w:themeColor="text1"/>
          <w:sz w:val="24"/>
          <w:szCs w:val="24"/>
        </w:rPr>
      </w:pPr>
      <w:bookmarkStart w:id="0" w:name="_Toc9862129"/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I. </w:t>
      </w:r>
      <w:r w:rsidRPr="00174994">
        <w:rPr>
          <w:rFonts w:ascii="Palatino Linotype" w:hAnsi="Palatino Linotype"/>
          <w:b/>
          <w:color w:val="000000" w:themeColor="text1"/>
          <w:sz w:val="24"/>
          <w:szCs w:val="24"/>
        </w:rPr>
        <w:t>Consideraciones Generales</w:t>
      </w:r>
      <w:bookmarkEnd w:id="0"/>
    </w:p>
    <w:p w:rsidR="00467FD5" w:rsidRPr="003431E5" w:rsidRDefault="00467FD5" w:rsidP="00467FD5">
      <w:pPr>
        <w:ind w:right="49"/>
      </w:pPr>
    </w:p>
    <w:p w:rsidR="00467FD5" w:rsidRDefault="00467FD5" w:rsidP="00467FD5">
      <w:pPr>
        <w:pStyle w:val="Prrafodelista"/>
        <w:numPr>
          <w:ilvl w:val="0"/>
          <w:numId w:val="1"/>
        </w:numPr>
        <w:spacing w:after="0" w:line="360" w:lineRule="auto"/>
        <w:ind w:left="0" w:right="49" w:firstLine="0"/>
        <w:jc w:val="both"/>
        <w:rPr>
          <w:rFonts w:ascii="Palatino Linotype" w:hAnsi="Palatino Linotype" w:cs="Arial"/>
          <w:b/>
          <w:sz w:val="24"/>
          <w:szCs w:val="24"/>
        </w:rPr>
      </w:pPr>
      <w:r w:rsidRPr="00E9629B">
        <w:rPr>
          <w:rFonts w:ascii="Palatino Linotype" w:eastAsia="Times New Roman" w:hAnsi="Palatino Linotype" w:cs="Arial"/>
          <w:sz w:val="24"/>
          <w:szCs w:val="24"/>
          <w:lang w:val="es-ES_tradnl"/>
        </w:rPr>
        <w:t xml:space="preserve">He concurrido con mi voto particular de la presente resolución emitida </w:t>
      </w:r>
      <w:r w:rsidRPr="00E9629B">
        <w:rPr>
          <w:rFonts w:ascii="Palatino Linotype" w:hAnsi="Palatino Linotype" w:cs="Arial"/>
          <w:sz w:val="24"/>
          <w:szCs w:val="24"/>
        </w:rPr>
        <w:t xml:space="preserve">por el Pleno del Instituto de Transparencia, Acceso a la Información Pública y Protección de Datos Personales del Estado de México y Municipios, en su </w:t>
      </w:r>
      <w:r w:rsidR="009D1ADA">
        <w:rPr>
          <w:rFonts w:ascii="Palatino Linotype" w:hAnsi="Palatino Linotype" w:cs="Arial"/>
          <w:sz w:val="24"/>
          <w:szCs w:val="24"/>
        </w:rPr>
        <w:t xml:space="preserve">décimo </w:t>
      </w:r>
      <w:r w:rsidR="00521494">
        <w:rPr>
          <w:rFonts w:ascii="Palatino Linotype" w:hAnsi="Palatino Linotype" w:cs="Arial"/>
          <w:sz w:val="24"/>
          <w:szCs w:val="24"/>
        </w:rPr>
        <w:t xml:space="preserve">novena </w:t>
      </w:r>
      <w:r w:rsidRPr="00E9629B">
        <w:rPr>
          <w:rFonts w:ascii="Palatino Linotype" w:hAnsi="Palatino Linotype" w:cs="Arial"/>
          <w:sz w:val="24"/>
          <w:szCs w:val="24"/>
        </w:rPr>
        <w:t xml:space="preserve">sesión ordinaria del día </w:t>
      </w:r>
      <w:r w:rsidR="00521494">
        <w:rPr>
          <w:rFonts w:ascii="Palatino Linotype" w:hAnsi="Palatino Linotype" w:cs="Arial"/>
          <w:sz w:val="24"/>
          <w:szCs w:val="24"/>
        </w:rPr>
        <w:t>veintidós</w:t>
      </w:r>
      <w:r w:rsidR="009D1ADA">
        <w:rPr>
          <w:rFonts w:ascii="Palatino Linotype" w:hAnsi="Palatino Linotype" w:cs="Arial"/>
          <w:sz w:val="24"/>
          <w:szCs w:val="24"/>
        </w:rPr>
        <w:t xml:space="preserve"> (</w:t>
      </w:r>
      <w:r w:rsidR="00521494">
        <w:rPr>
          <w:rFonts w:ascii="Palatino Linotype" w:hAnsi="Palatino Linotype" w:cs="Arial"/>
          <w:sz w:val="24"/>
          <w:szCs w:val="24"/>
        </w:rPr>
        <w:t>22</w:t>
      </w:r>
      <w:r w:rsidR="009D1ADA" w:rsidRPr="009D1ADA">
        <w:rPr>
          <w:rFonts w:ascii="Palatino Linotype" w:hAnsi="Palatino Linotype" w:cs="Arial"/>
          <w:sz w:val="24"/>
          <w:szCs w:val="24"/>
        </w:rPr>
        <w:t xml:space="preserve">) de </w:t>
      </w:r>
      <w:r w:rsidR="00521494">
        <w:rPr>
          <w:rFonts w:ascii="Palatino Linotype" w:hAnsi="Palatino Linotype" w:cs="Arial"/>
          <w:sz w:val="24"/>
          <w:szCs w:val="24"/>
        </w:rPr>
        <w:t xml:space="preserve">mayo </w:t>
      </w:r>
      <w:r w:rsidRPr="009D1ADA">
        <w:rPr>
          <w:rFonts w:ascii="Palatino Linotype" w:hAnsi="Palatino Linotype" w:cs="Arial"/>
          <w:sz w:val="24"/>
          <w:szCs w:val="24"/>
        </w:rPr>
        <w:t>de dos mil dieci</w:t>
      </w:r>
      <w:r w:rsidR="00521494">
        <w:rPr>
          <w:rFonts w:ascii="Palatino Linotype" w:hAnsi="Palatino Linotype" w:cs="Arial"/>
          <w:sz w:val="24"/>
          <w:szCs w:val="24"/>
        </w:rPr>
        <w:t>nueve</w:t>
      </w:r>
      <w:r w:rsidRPr="00E9629B">
        <w:rPr>
          <w:rFonts w:ascii="Palatino Linotype" w:hAnsi="Palatino Linotype" w:cs="Arial"/>
          <w:sz w:val="24"/>
          <w:szCs w:val="24"/>
        </w:rPr>
        <w:t xml:space="preserve">, en el recurso de revisión promovido por </w:t>
      </w:r>
      <w:r w:rsidR="00735FB4" w:rsidRPr="00735FB4">
        <w:rPr>
          <w:rFonts w:ascii="Palatino Linotype" w:hAnsi="Palatino Linotype"/>
          <w:b/>
          <w:sz w:val="24"/>
          <w:szCs w:val="24"/>
          <w:highlight w:val="black"/>
          <w:lang w:val="es-ES_tradnl"/>
        </w:rPr>
        <w:t>-------------------------------------</w:t>
      </w:r>
      <w:r w:rsidRPr="00E9629B">
        <w:rPr>
          <w:rFonts w:ascii="Palatino Linotype" w:hAnsi="Palatino Linotype" w:cs="Arial"/>
          <w:sz w:val="24"/>
          <w:szCs w:val="24"/>
        </w:rPr>
        <w:t xml:space="preserve">en contra de la respuesta </w:t>
      </w:r>
      <w:r w:rsidR="000F6B22">
        <w:rPr>
          <w:rFonts w:ascii="Palatino Linotype" w:hAnsi="Palatino Linotype" w:cs="Arial"/>
          <w:sz w:val="24"/>
          <w:szCs w:val="24"/>
        </w:rPr>
        <w:t xml:space="preserve">de la </w:t>
      </w:r>
      <w:r w:rsidR="000F6B22" w:rsidRPr="000F6B22">
        <w:rPr>
          <w:rFonts w:ascii="Palatino Linotype" w:hAnsi="Palatino Linotype" w:cs="Arial"/>
          <w:b/>
          <w:sz w:val="24"/>
          <w:szCs w:val="24"/>
        </w:rPr>
        <w:t>Fiscalía General de Justicia del Estado de México</w:t>
      </w:r>
      <w:r w:rsidRPr="00E9629B">
        <w:rPr>
          <w:rFonts w:ascii="Palatino Linotype" w:hAnsi="Palatino Linotype" w:cs="Arial"/>
          <w:sz w:val="24"/>
          <w:szCs w:val="24"/>
        </w:rPr>
        <w:t xml:space="preserve">, procedimiento al que se le asignó el número de expediente </w:t>
      </w:r>
      <w:r w:rsidR="000F6B22">
        <w:rPr>
          <w:rFonts w:ascii="Palatino Linotype" w:hAnsi="Palatino Linotype" w:cs="Arial"/>
          <w:b/>
          <w:sz w:val="24"/>
          <w:szCs w:val="24"/>
        </w:rPr>
        <w:t>01357/INFOEM/IP/RR/2019</w:t>
      </w:r>
      <w:r w:rsidRPr="00E9629B">
        <w:rPr>
          <w:rFonts w:ascii="Palatino Linotype" w:hAnsi="Palatino Linotype" w:cs="Arial"/>
          <w:b/>
          <w:sz w:val="24"/>
          <w:szCs w:val="24"/>
        </w:rPr>
        <w:t>.</w:t>
      </w:r>
    </w:p>
    <w:p w:rsidR="00595CEF" w:rsidRDefault="00595CEF" w:rsidP="00595CEF">
      <w:pPr>
        <w:pStyle w:val="Prrafodelista"/>
        <w:spacing w:after="0" w:line="360" w:lineRule="auto"/>
        <w:ind w:left="0" w:right="49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595CEF" w:rsidRPr="000E3630" w:rsidRDefault="00467FD5" w:rsidP="00595CEF">
      <w:pPr>
        <w:pStyle w:val="Prrafodelista"/>
        <w:numPr>
          <w:ilvl w:val="0"/>
          <w:numId w:val="1"/>
        </w:numPr>
        <w:spacing w:after="0" w:line="360" w:lineRule="auto"/>
        <w:ind w:left="0" w:right="49" w:firstLine="0"/>
        <w:jc w:val="both"/>
        <w:rPr>
          <w:rFonts w:ascii="Palatino Linotype" w:hAnsi="Palatino Linotype" w:cs="Arial"/>
          <w:b/>
          <w:sz w:val="24"/>
          <w:szCs w:val="24"/>
        </w:rPr>
      </w:pPr>
      <w:r w:rsidRPr="00595CEF">
        <w:rPr>
          <w:rFonts w:ascii="Palatino Linotype" w:hAnsi="Palatino Linotype" w:cs="Arial"/>
          <w:sz w:val="24"/>
          <w:szCs w:val="24"/>
        </w:rPr>
        <w:t xml:space="preserve">La resolución determina </w:t>
      </w:r>
      <w:r w:rsidR="000E3630">
        <w:rPr>
          <w:rFonts w:ascii="Palatino Linotype" w:hAnsi="Palatino Linotype" w:cs="Arial"/>
          <w:sz w:val="24"/>
          <w:szCs w:val="24"/>
        </w:rPr>
        <w:t>modificar la respuesta emitida por</w:t>
      </w:r>
      <w:r w:rsidR="00487383" w:rsidRPr="00595CEF">
        <w:rPr>
          <w:rFonts w:ascii="Palatino Linotype" w:hAnsi="Palatino Linotype" w:cs="Arial"/>
          <w:sz w:val="24"/>
          <w:szCs w:val="24"/>
        </w:rPr>
        <w:t xml:space="preserve"> </w:t>
      </w:r>
      <w:r w:rsidR="000F6B22">
        <w:rPr>
          <w:rFonts w:ascii="Palatino Linotype" w:hAnsi="Palatino Linotype" w:cs="Arial"/>
          <w:sz w:val="24"/>
          <w:szCs w:val="24"/>
        </w:rPr>
        <w:t xml:space="preserve">la </w:t>
      </w:r>
      <w:r w:rsidR="000F6B22" w:rsidRPr="000E3630">
        <w:rPr>
          <w:rFonts w:ascii="Palatino Linotype" w:hAnsi="Palatino Linotype" w:cs="Arial"/>
          <w:b/>
          <w:sz w:val="24"/>
          <w:szCs w:val="24"/>
        </w:rPr>
        <w:t>Fiscalía General de Justicia del Estado de México</w:t>
      </w:r>
      <w:r w:rsidR="00487383" w:rsidRPr="00595CEF">
        <w:rPr>
          <w:rFonts w:ascii="Palatino Linotype" w:hAnsi="Palatino Linotype" w:cs="Arial"/>
          <w:sz w:val="24"/>
          <w:szCs w:val="24"/>
        </w:rPr>
        <w:t xml:space="preserve"> </w:t>
      </w:r>
      <w:r w:rsidR="000E3630" w:rsidRPr="00F856B6">
        <w:rPr>
          <w:rFonts w:ascii="Palatino Linotype" w:hAnsi="Palatino Linotype" w:cs="Arial"/>
          <w:color w:val="000000" w:themeColor="text1"/>
        </w:rPr>
        <w:t xml:space="preserve">en términos del Considerando </w:t>
      </w:r>
      <w:r w:rsidR="000E3630" w:rsidRPr="00F856B6">
        <w:rPr>
          <w:rFonts w:ascii="Palatino Linotype" w:hAnsi="Palatino Linotype" w:cs="Arial"/>
          <w:b/>
          <w:color w:val="000000" w:themeColor="text1"/>
        </w:rPr>
        <w:t>QUINTO</w:t>
      </w:r>
      <w:r w:rsidRPr="00595CEF">
        <w:rPr>
          <w:rFonts w:ascii="Palatino Linotype" w:hAnsi="Palatino Linotype" w:cs="Arial"/>
          <w:sz w:val="24"/>
          <w:szCs w:val="24"/>
        </w:rPr>
        <w:t xml:space="preserve"> de la resolución, en el que fundamentalmente se</w:t>
      </w:r>
      <w:r w:rsidR="000E3630">
        <w:rPr>
          <w:rFonts w:ascii="Palatino Linotype" w:hAnsi="Palatino Linotype" w:cs="Arial"/>
          <w:sz w:val="24"/>
          <w:szCs w:val="24"/>
        </w:rPr>
        <w:t xml:space="preserve"> ordena que únicamente se entregue “</w:t>
      </w:r>
      <w:r w:rsidR="000E3630" w:rsidRPr="00F856B6">
        <w:rPr>
          <w:rFonts w:ascii="Palatino Linotype" w:hAnsi="Palatino Linotype" w:cs="Arial"/>
          <w:i/>
          <w:lang w:eastAsia="es-MX"/>
        </w:rPr>
        <w:t xml:space="preserve">El documento o documentos donde conste el perfil de los puestos de los servidores públicos adscritos a la Fiscalía Especializada de </w:t>
      </w:r>
      <w:proofErr w:type="spellStart"/>
      <w:r w:rsidR="000E3630" w:rsidRPr="00F856B6">
        <w:rPr>
          <w:rFonts w:ascii="Palatino Linotype" w:hAnsi="Palatino Linotype" w:cs="Arial"/>
          <w:i/>
          <w:lang w:eastAsia="es-MX"/>
        </w:rPr>
        <w:t>Feminicidios</w:t>
      </w:r>
      <w:proofErr w:type="spellEnd"/>
      <w:r w:rsidR="000E3630" w:rsidRPr="00F856B6">
        <w:rPr>
          <w:rFonts w:ascii="Palatino Linotype" w:hAnsi="Palatino Linotype" w:cs="Arial"/>
          <w:i/>
          <w:lang w:eastAsia="es-MX"/>
        </w:rPr>
        <w:t xml:space="preserve"> vigente al 12 de febrero de 2019</w:t>
      </w:r>
      <w:r w:rsidR="000E3630">
        <w:rPr>
          <w:rFonts w:ascii="Palatino Linotype" w:hAnsi="Palatino Linotype" w:cs="Arial"/>
          <w:i/>
          <w:lang w:eastAsia="es-MX"/>
        </w:rPr>
        <w:t>”</w:t>
      </w:r>
      <w:r w:rsidR="00595CEF" w:rsidRPr="00595CEF">
        <w:rPr>
          <w:rFonts w:ascii="Palatino Linotype" w:hAnsi="Palatino Linotype"/>
          <w:color w:val="000000"/>
          <w:sz w:val="24"/>
          <w:szCs w:val="24"/>
        </w:rPr>
        <w:t xml:space="preserve">, y </w:t>
      </w:r>
      <w:r w:rsidR="000E3630">
        <w:rPr>
          <w:rFonts w:ascii="Palatino Linotype" w:hAnsi="Palatino Linotype"/>
          <w:color w:val="000000"/>
          <w:sz w:val="24"/>
          <w:szCs w:val="24"/>
        </w:rPr>
        <w:t xml:space="preserve">no así la </w:t>
      </w:r>
      <w:r w:rsidR="000E3630" w:rsidRPr="000E3630">
        <w:rPr>
          <w:rFonts w:ascii="Palatino Linotype" w:hAnsi="Palatino Linotype"/>
          <w:color w:val="000000"/>
          <w:sz w:val="24"/>
          <w:szCs w:val="24"/>
        </w:rPr>
        <w:lastRenderedPageBreak/>
        <w:t xml:space="preserve">información relativa a los </w:t>
      </w:r>
      <w:r w:rsidR="000E3630" w:rsidRPr="000E3630">
        <w:rPr>
          <w:rFonts w:ascii="Palatino Linotype" w:hAnsi="Palatino Linotype" w:cs="Arial"/>
          <w:sz w:val="24"/>
          <w:szCs w:val="24"/>
          <w:lang w:eastAsia="es-MX"/>
        </w:rPr>
        <w:t xml:space="preserve">objetivos de las áreas que integran </w:t>
      </w:r>
      <w:r w:rsidR="000E3630">
        <w:rPr>
          <w:rFonts w:ascii="Palatino Linotype" w:hAnsi="Palatino Linotype" w:cs="Arial"/>
          <w:sz w:val="24"/>
          <w:szCs w:val="24"/>
          <w:lang w:eastAsia="es-MX"/>
        </w:rPr>
        <w:t xml:space="preserve">a la </w:t>
      </w:r>
      <w:r w:rsidR="000E3630" w:rsidRPr="000E3630">
        <w:rPr>
          <w:rFonts w:ascii="Palatino Linotype" w:hAnsi="Palatino Linotype" w:cs="Arial"/>
          <w:sz w:val="24"/>
          <w:szCs w:val="24"/>
          <w:lang w:eastAsia="es-MX"/>
        </w:rPr>
        <w:t xml:space="preserve">Fiscalía Especializada en </w:t>
      </w:r>
      <w:proofErr w:type="spellStart"/>
      <w:r w:rsidR="000E3630" w:rsidRPr="000E3630">
        <w:rPr>
          <w:rFonts w:ascii="Palatino Linotype" w:hAnsi="Palatino Linotype" w:cs="Arial"/>
          <w:sz w:val="24"/>
          <w:szCs w:val="24"/>
          <w:lang w:eastAsia="es-MX"/>
        </w:rPr>
        <w:t>Feminicidios</w:t>
      </w:r>
      <w:proofErr w:type="spellEnd"/>
      <w:r w:rsidR="000E3630" w:rsidRPr="000E3630">
        <w:rPr>
          <w:rFonts w:ascii="Palatino Linotype" w:hAnsi="Palatino Linotype" w:cs="Arial"/>
          <w:sz w:val="24"/>
          <w:szCs w:val="24"/>
          <w:lang w:eastAsia="es-MX"/>
        </w:rPr>
        <w:t xml:space="preserve"> del Estado de México</w:t>
      </w:r>
      <w:r w:rsidR="000E3630">
        <w:rPr>
          <w:rFonts w:ascii="Palatino Linotype" w:hAnsi="Palatino Linotype" w:cs="Arial"/>
          <w:sz w:val="24"/>
          <w:szCs w:val="24"/>
          <w:lang w:eastAsia="es-MX"/>
        </w:rPr>
        <w:t xml:space="preserve">, toda vez que </w:t>
      </w:r>
      <w:r w:rsidR="000E3630">
        <w:rPr>
          <w:rFonts w:ascii="Palatino Linotype" w:hAnsi="Palatino Linotype" w:cs="Arial"/>
          <w:sz w:val="24"/>
          <w:szCs w:val="24"/>
        </w:rPr>
        <w:t xml:space="preserve">la ponencia que resolvió el recurso de revisión toma en cuenta como válida la información entregada relativa al </w:t>
      </w:r>
      <w:r w:rsidR="000E3630" w:rsidRPr="000E3630">
        <w:rPr>
          <w:rFonts w:ascii="Palatino Linotype" w:hAnsi="Palatino Linotype" w:cs="Arial"/>
          <w:sz w:val="24"/>
          <w:szCs w:val="24"/>
          <w:lang w:eastAsia="es-MX"/>
        </w:rPr>
        <w:t>objetivo</w:t>
      </w:r>
      <w:r w:rsidR="000E3630">
        <w:rPr>
          <w:rFonts w:ascii="Palatino Linotype" w:hAnsi="Palatino Linotype" w:cs="Arial"/>
          <w:sz w:val="24"/>
          <w:szCs w:val="24"/>
          <w:lang w:eastAsia="es-MX"/>
        </w:rPr>
        <w:t xml:space="preserve"> que tiene </w:t>
      </w:r>
      <w:r w:rsidR="000E3630">
        <w:rPr>
          <w:rFonts w:ascii="Palatino Linotype" w:hAnsi="Palatino Linotype" w:cs="Arial"/>
          <w:sz w:val="24"/>
          <w:szCs w:val="24"/>
        </w:rPr>
        <w:t xml:space="preserve">la </w:t>
      </w:r>
      <w:r w:rsidR="000E3630" w:rsidRPr="000E3630">
        <w:rPr>
          <w:rFonts w:ascii="Palatino Linotype" w:hAnsi="Palatino Linotype" w:cs="Arial"/>
          <w:b/>
          <w:sz w:val="24"/>
          <w:szCs w:val="24"/>
        </w:rPr>
        <w:t>Fiscalía General de Justicia del Estado de México</w:t>
      </w:r>
      <w:r w:rsidR="000E3630">
        <w:rPr>
          <w:rFonts w:ascii="Palatino Linotype" w:hAnsi="Palatino Linotype" w:cs="Arial"/>
          <w:b/>
          <w:sz w:val="24"/>
          <w:szCs w:val="24"/>
        </w:rPr>
        <w:t xml:space="preserve"> (información diversa a la requerida).</w:t>
      </w:r>
    </w:p>
    <w:p w:rsidR="00595CEF" w:rsidRPr="000E3630" w:rsidRDefault="00595CEF" w:rsidP="00595CEF">
      <w:pPr>
        <w:pStyle w:val="Prrafodelista"/>
        <w:spacing w:after="0" w:line="360" w:lineRule="auto"/>
        <w:ind w:left="0" w:right="49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D613C8" w:rsidRPr="00695640" w:rsidRDefault="00467FD5" w:rsidP="00D613C8">
      <w:pPr>
        <w:pStyle w:val="Prrafodelista"/>
        <w:numPr>
          <w:ilvl w:val="0"/>
          <w:numId w:val="1"/>
        </w:numPr>
        <w:spacing w:after="0" w:line="360" w:lineRule="auto"/>
        <w:ind w:left="0" w:right="49" w:firstLine="0"/>
        <w:jc w:val="both"/>
        <w:rPr>
          <w:rFonts w:ascii="Palatino Linotype" w:hAnsi="Palatino Linotype" w:cs="Arial"/>
          <w:sz w:val="24"/>
          <w:szCs w:val="24"/>
        </w:rPr>
      </w:pPr>
      <w:r w:rsidRPr="00695640">
        <w:rPr>
          <w:rFonts w:ascii="Palatino Linotype" w:hAnsi="Palatino Linotype" w:cs="Arial"/>
          <w:sz w:val="24"/>
          <w:szCs w:val="24"/>
        </w:rPr>
        <w:t xml:space="preserve">Mi voto particular se deriva de </w:t>
      </w:r>
      <w:r w:rsidR="00215E6F">
        <w:rPr>
          <w:rFonts w:ascii="Palatino Linotype" w:hAnsi="Palatino Linotype" w:cs="Arial"/>
          <w:sz w:val="24"/>
          <w:szCs w:val="24"/>
        </w:rPr>
        <w:t xml:space="preserve">la suplencia de una respuesta deficiente por parte de la ponencia que resolvió el recurso de revisión y validar información diversa a la solicitada, </w:t>
      </w:r>
      <w:r w:rsidR="00D613C8" w:rsidRPr="00695640">
        <w:rPr>
          <w:rFonts w:ascii="Palatino Linotype" w:hAnsi="Palatino Linotype" w:cs="Arial"/>
          <w:sz w:val="24"/>
          <w:szCs w:val="24"/>
        </w:rPr>
        <w:t xml:space="preserve">por lo que no se colma el derecho de acceso a la información pública, dando lugar a la interposición del recurso de revisión. </w:t>
      </w:r>
    </w:p>
    <w:p w:rsidR="00D613C8" w:rsidRPr="00D613C8" w:rsidRDefault="00D613C8" w:rsidP="00D613C8">
      <w:pPr>
        <w:pStyle w:val="Prrafodelista"/>
        <w:spacing w:after="0" w:line="360" w:lineRule="auto"/>
        <w:ind w:left="0" w:right="49"/>
        <w:jc w:val="both"/>
        <w:rPr>
          <w:rFonts w:ascii="Palatino Linotype" w:hAnsi="Palatino Linotype" w:cs="Arial"/>
          <w:b/>
          <w:color w:val="000000" w:themeColor="text1"/>
          <w:sz w:val="24"/>
          <w:szCs w:val="24"/>
        </w:rPr>
      </w:pPr>
    </w:p>
    <w:p w:rsidR="00D613C8" w:rsidRPr="00261390" w:rsidRDefault="00D613C8" w:rsidP="00D613C8">
      <w:pPr>
        <w:pStyle w:val="Prrafodelista"/>
        <w:numPr>
          <w:ilvl w:val="0"/>
          <w:numId w:val="1"/>
        </w:numPr>
        <w:spacing w:after="0" w:line="360" w:lineRule="auto"/>
        <w:ind w:left="0" w:right="49" w:firstLine="0"/>
        <w:jc w:val="both"/>
        <w:rPr>
          <w:rFonts w:ascii="Palatino Linotype" w:hAnsi="Palatino Linotype" w:cs="Arial"/>
          <w:b/>
          <w:color w:val="000000" w:themeColor="text1"/>
          <w:sz w:val="24"/>
          <w:szCs w:val="24"/>
        </w:rPr>
      </w:pPr>
      <w:r w:rsidRPr="00261390">
        <w:rPr>
          <w:rFonts w:ascii="Palatino Linotype" w:hAnsi="Palatino Linotype"/>
          <w:color w:val="000000" w:themeColor="text1"/>
          <w:sz w:val="24"/>
          <w:szCs w:val="24"/>
        </w:rPr>
        <w:t xml:space="preserve">Bajo tales circunstancias el Instituto </w:t>
      </w:r>
      <w:r w:rsidRPr="00261390">
        <w:rPr>
          <w:rFonts w:ascii="Palatino Linotype" w:hAnsi="Palatino Linotype" w:cs="Arial"/>
          <w:color w:val="000000" w:themeColor="text1"/>
          <w:sz w:val="24"/>
          <w:szCs w:val="24"/>
        </w:rPr>
        <w:t xml:space="preserve">suplió la deficiencia </w:t>
      </w:r>
      <w:r w:rsidR="00215E6F">
        <w:rPr>
          <w:rFonts w:ascii="Palatino Linotype" w:hAnsi="Palatino Linotype" w:cs="Arial"/>
          <w:color w:val="000000" w:themeColor="text1"/>
          <w:sz w:val="24"/>
          <w:szCs w:val="24"/>
        </w:rPr>
        <w:t>y tomó en cuenta un objetivo que en lo general tiene la Fiscalía como un Organismo, sin tomar en cuenta que se solicitaron los objetivos que son asignados a una dependencia de dicho ente de manera específica.</w:t>
      </w:r>
    </w:p>
    <w:p w:rsidR="00467FD5" w:rsidRPr="00D613C8" w:rsidRDefault="00467FD5" w:rsidP="00D613C8">
      <w:pPr>
        <w:pStyle w:val="Prrafodelista"/>
        <w:spacing w:before="240" w:after="240" w:line="360" w:lineRule="auto"/>
        <w:ind w:left="0" w:right="49"/>
        <w:jc w:val="both"/>
        <w:rPr>
          <w:rFonts w:ascii="Palatino Linotype" w:hAnsi="Palatino Linotype" w:cs="Arial"/>
          <w:sz w:val="24"/>
          <w:szCs w:val="24"/>
        </w:rPr>
      </w:pPr>
    </w:p>
    <w:p w:rsidR="00467FD5" w:rsidRDefault="00467FD5" w:rsidP="00467FD5">
      <w:pPr>
        <w:pStyle w:val="Prrafodelista"/>
        <w:numPr>
          <w:ilvl w:val="0"/>
          <w:numId w:val="1"/>
        </w:numPr>
        <w:spacing w:before="240" w:after="240" w:line="360" w:lineRule="auto"/>
        <w:ind w:left="0" w:right="49" w:firstLine="0"/>
        <w:jc w:val="both"/>
        <w:rPr>
          <w:rFonts w:ascii="Palatino Linotype" w:hAnsi="Palatino Linotype" w:cs="Arial"/>
          <w:sz w:val="24"/>
          <w:szCs w:val="24"/>
        </w:rPr>
      </w:pPr>
      <w:r w:rsidRPr="001C3008">
        <w:rPr>
          <w:rFonts w:ascii="Palatino Linotype" w:hAnsi="Palatino Linotype" w:cs="Arial"/>
          <w:sz w:val="24"/>
          <w:szCs w:val="24"/>
        </w:rPr>
        <w:t>Por tal motivo y e</w:t>
      </w:r>
      <w:r>
        <w:rPr>
          <w:rFonts w:ascii="Palatino Linotype" w:hAnsi="Palatino Linotype" w:cs="Arial"/>
          <w:sz w:val="24"/>
          <w:szCs w:val="24"/>
        </w:rPr>
        <w:t xml:space="preserve">n términos de lo señalado por el artículo 14 </w:t>
      </w:r>
      <w:r w:rsidRPr="001C3008">
        <w:rPr>
          <w:rFonts w:ascii="Palatino Linotype" w:hAnsi="Palatino Linotype" w:cs="Arial"/>
          <w:sz w:val="24"/>
          <w:szCs w:val="24"/>
        </w:rPr>
        <w:t>fracción X</w:t>
      </w:r>
      <w:r>
        <w:rPr>
          <w:rFonts w:ascii="Palatino Linotype" w:hAnsi="Palatino Linotype" w:cs="Arial"/>
          <w:sz w:val="24"/>
          <w:szCs w:val="24"/>
        </w:rPr>
        <w:t>I</w:t>
      </w:r>
      <w:r w:rsidRPr="001C3008">
        <w:rPr>
          <w:rFonts w:ascii="Palatino Linotype" w:hAnsi="Palatino Linotype" w:cs="Arial"/>
          <w:sz w:val="24"/>
          <w:szCs w:val="24"/>
        </w:rPr>
        <w:t xml:space="preserve"> del Reglamento Interior del Instituto de Transparencia y Acceso a la Información Pública del Estado de México y Municipios formulo la presente</w:t>
      </w:r>
      <w:r>
        <w:rPr>
          <w:rFonts w:ascii="Palatino Linotype" w:hAnsi="Palatino Linotype" w:cs="Arial"/>
          <w:sz w:val="24"/>
          <w:szCs w:val="24"/>
        </w:rPr>
        <w:t xml:space="preserve"> voto </w:t>
      </w:r>
      <w:r w:rsidRPr="001C3008">
        <w:rPr>
          <w:rFonts w:ascii="Palatino Linotype" w:hAnsi="Palatino Linotype" w:cs="Arial"/>
          <w:sz w:val="24"/>
          <w:szCs w:val="24"/>
        </w:rPr>
        <w:t xml:space="preserve">particular. </w:t>
      </w:r>
    </w:p>
    <w:p w:rsidR="00467FD5" w:rsidRPr="00B837C7" w:rsidRDefault="00467FD5" w:rsidP="00467FD5">
      <w:pPr>
        <w:pStyle w:val="Prrafodelista"/>
        <w:ind w:left="0" w:right="49"/>
        <w:rPr>
          <w:rFonts w:ascii="Palatino Linotype" w:hAnsi="Palatino Linotype" w:cs="Arial"/>
          <w:sz w:val="24"/>
          <w:szCs w:val="24"/>
        </w:rPr>
      </w:pPr>
    </w:p>
    <w:p w:rsidR="00467FD5" w:rsidRDefault="00467FD5" w:rsidP="007A72DC">
      <w:pPr>
        <w:pStyle w:val="Ttulo1"/>
        <w:rPr>
          <w:rFonts w:ascii="Palatino Linotype" w:hAnsi="Palatino Linotype"/>
          <w:b/>
          <w:color w:val="000000" w:themeColor="text1"/>
          <w:sz w:val="24"/>
          <w:szCs w:val="24"/>
        </w:rPr>
      </w:pPr>
      <w:bookmarkStart w:id="1" w:name="_Toc9862130"/>
      <w:r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II. </w:t>
      </w:r>
      <w:r w:rsidRPr="00E80513">
        <w:rPr>
          <w:rFonts w:ascii="Palatino Linotype" w:hAnsi="Palatino Linotype"/>
          <w:b/>
          <w:color w:val="000000" w:themeColor="text1"/>
          <w:sz w:val="24"/>
          <w:szCs w:val="24"/>
        </w:rPr>
        <w:t>Del Procedimiento de Acceso a la Información Pública.</w:t>
      </w:r>
      <w:bookmarkEnd w:id="1"/>
    </w:p>
    <w:p w:rsidR="00FB14DD" w:rsidRPr="00FB14DD" w:rsidRDefault="00FB14DD" w:rsidP="00FB14DD">
      <w:pPr>
        <w:pStyle w:val="Prrafodelista"/>
        <w:spacing w:before="240" w:after="240" w:line="360" w:lineRule="auto"/>
        <w:ind w:left="0"/>
        <w:jc w:val="both"/>
        <w:rPr>
          <w:rFonts w:ascii="Palatino Linotype" w:hAnsi="Palatino Linotype" w:cs="Arial"/>
          <w:sz w:val="24"/>
          <w:szCs w:val="24"/>
        </w:rPr>
      </w:pPr>
    </w:p>
    <w:p w:rsidR="00467FD5" w:rsidRDefault="00467FD5" w:rsidP="00467FD5">
      <w:pPr>
        <w:pStyle w:val="Prrafode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 xml:space="preserve">En primer lugar, todo </w:t>
      </w:r>
      <w:r>
        <w:rPr>
          <w:rFonts w:ascii="Palatino Linotype" w:hAnsi="Palatino Linotype" w:cs="Arial"/>
          <w:b/>
          <w:sz w:val="24"/>
          <w:szCs w:val="24"/>
        </w:rPr>
        <w:t xml:space="preserve">SUJETO OBLIGADO, </w:t>
      </w:r>
      <w:r>
        <w:rPr>
          <w:rFonts w:ascii="Palatino Linotype" w:hAnsi="Palatino Linotype" w:cs="Arial"/>
          <w:sz w:val="24"/>
          <w:szCs w:val="24"/>
        </w:rPr>
        <w:t xml:space="preserve">debe tener presente que la </w:t>
      </w:r>
      <w:r>
        <w:rPr>
          <w:rFonts w:ascii="Palatino Linotype" w:hAnsi="Palatino Linotype" w:cs="Arial"/>
          <w:b/>
          <w:sz w:val="24"/>
          <w:szCs w:val="24"/>
        </w:rPr>
        <w:t xml:space="preserve">Ley de Transparencia </w:t>
      </w:r>
      <w:r w:rsidRPr="009F7309">
        <w:rPr>
          <w:rFonts w:ascii="Palatino Linotype" w:hAnsi="Palatino Linotype" w:cs="Arial"/>
          <w:b/>
          <w:sz w:val="24"/>
          <w:szCs w:val="24"/>
        </w:rPr>
        <w:t>y Acceso a la Información Pública del Estado de México y Municipios</w:t>
      </w:r>
      <w:r>
        <w:rPr>
          <w:rFonts w:ascii="Palatino Linotype" w:hAnsi="Palatino Linotype" w:cs="Arial"/>
          <w:b/>
          <w:sz w:val="24"/>
          <w:szCs w:val="24"/>
        </w:rPr>
        <w:t xml:space="preserve">, </w:t>
      </w:r>
      <w:r>
        <w:rPr>
          <w:rFonts w:ascii="Palatino Linotype" w:hAnsi="Palatino Linotype" w:cs="Arial"/>
          <w:sz w:val="24"/>
          <w:szCs w:val="24"/>
        </w:rPr>
        <w:t>establece principios, bases generales y procedimientos para tutelar y garantizar la transparencia y el derecho humano de acceso a la información pública que generan, administran o poseen, y asimismo establece que todo procedimiento en materia de acceso a la</w:t>
      </w:r>
      <w:r w:rsidR="007A72DC">
        <w:rPr>
          <w:rFonts w:ascii="Palatino Linotype" w:hAnsi="Palatino Linotype" w:cs="Arial"/>
          <w:sz w:val="24"/>
          <w:szCs w:val="24"/>
        </w:rPr>
        <w:t xml:space="preserve"> información deberá sustanciarse</w:t>
      </w:r>
      <w:r>
        <w:rPr>
          <w:rFonts w:ascii="Palatino Linotype" w:hAnsi="Palatino Linotype" w:cs="Arial"/>
          <w:sz w:val="24"/>
          <w:szCs w:val="24"/>
        </w:rPr>
        <w:t xml:space="preserve"> de manera se</w:t>
      </w:r>
      <w:r w:rsidR="00215E6F">
        <w:rPr>
          <w:rFonts w:ascii="Palatino Linotype" w:hAnsi="Palatino Linotype" w:cs="Arial"/>
          <w:sz w:val="24"/>
          <w:szCs w:val="24"/>
        </w:rPr>
        <w:t>ncilla y expedita propiciando l</w:t>
      </w:r>
      <w:r>
        <w:rPr>
          <w:rFonts w:ascii="Palatino Linotype" w:hAnsi="Palatino Linotype" w:cs="Arial"/>
          <w:sz w:val="24"/>
          <w:szCs w:val="24"/>
        </w:rPr>
        <w:t>as condiciones para el acceso, entrega y publicación de infor</w:t>
      </w:r>
      <w:r w:rsidR="00FB14DD">
        <w:rPr>
          <w:rFonts w:ascii="Palatino Linotype" w:hAnsi="Palatino Linotype" w:cs="Arial"/>
          <w:sz w:val="24"/>
          <w:szCs w:val="24"/>
        </w:rPr>
        <w:t>mación.</w:t>
      </w:r>
    </w:p>
    <w:p w:rsidR="00215E6F" w:rsidRPr="00F701F7" w:rsidRDefault="00467FD5" w:rsidP="00215E6F">
      <w:pPr>
        <w:pStyle w:val="Prrafodelista"/>
        <w:numPr>
          <w:ilvl w:val="0"/>
          <w:numId w:val="1"/>
        </w:numPr>
        <w:spacing w:before="240" w:after="240" w:line="360" w:lineRule="auto"/>
        <w:ind w:left="0" w:firstLine="0"/>
        <w:jc w:val="both"/>
        <w:rPr>
          <w:rFonts w:ascii="Palatino Linotype" w:hAnsi="Palatino Linotype" w:cs="Arial"/>
          <w:sz w:val="24"/>
          <w:szCs w:val="24"/>
        </w:rPr>
      </w:pPr>
      <w:r w:rsidRPr="00F701F7">
        <w:rPr>
          <w:rFonts w:ascii="Palatino Linotype" w:hAnsi="Palatino Linotype" w:cs="Arial"/>
          <w:sz w:val="24"/>
          <w:szCs w:val="24"/>
        </w:rPr>
        <w:t xml:space="preserve">Es de señalar que </w:t>
      </w:r>
      <w:r w:rsidR="00735FB4" w:rsidRPr="00735FB4">
        <w:rPr>
          <w:rFonts w:ascii="Palatino Linotype" w:hAnsi="Palatino Linotype"/>
          <w:b/>
          <w:sz w:val="24"/>
          <w:szCs w:val="24"/>
          <w:highlight w:val="black"/>
          <w:lang w:val="es-ES_tradnl"/>
        </w:rPr>
        <w:t>------------------------------------</w:t>
      </w:r>
      <w:bookmarkStart w:id="2" w:name="_GoBack"/>
      <w:bookmarkEnd w:id="2"/>
      <w:r w:rsidR="00215E6F" w:rsidRPr="00F701F7">
        <w:rPr>
          <w:rFonts w:ascii="Palatino Linotype" w:hAnsi="Palatino Linotype"/>
          <w:b/>
          <w:sz w:val="24"/>
          <w:szCs w:val="24"/>
          <w:lang w:val="es-ES_tradnl"/>
        </w:rPr>
        <w:t xml:space="preserve"> </w:t>
      </w:r>
      <w:r w:rsidRPr="00F701F7">
        <w:rPr>
          <w:rFonts w:ascii="Palatino Linotype" w:hAnsi="Palatino Linotype" w:cs="Arial"/>
          <w:sz w:val="24"/>
          <w:szCs w:val="24"/>
        </w:rPr>
        <w:t xml:space="preserve">requirió </w:t>
      </w:r>
      <w:r w:rsidR="000F6B22" w:rsidRPr="00F701F7">
        <w:rPr>
          <w:rFonts w:ascii="Palatino Linotype" w:hAnsi="Palatino Linotype" w:cs="Arial"/>
          <w:sz w:val="24"/>
          <w:szCs w:val="24"/>
        </w:rPr>
        <w:t xml:space="preserve">de la </w:t>
      </w:r>
      <w:r w:rsidR="000F6B22" w:rsidRPr="00F701F7">
        <w:rPr>
          <w:rFonts w:ascii="Palatino Linotype" w:hAnsi="Palatino Linotype" w:cs="Arial"/>
          <w:b/>
          <w:sz w:val="24"/>
          <w:szCs w:val="24"/>
        </w:rPr>
        <w:t>Fiscalía General de Justicia del Estado de México</w:t>
      </w:r>
      <w:r w:rsidRPr="00F701F7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215E6F" w:rsidRPr="00F701F7">
        <w:rPr>
          <w:rFonts w:ascii="Palatino Linotype" w:hAnsi="Palatino Linotype" w:cs="Arial"/>
          <w:sz w:val="24"/>
          <w:szCs w:val="24"/>
        </w:rPr>
        <w:t xml:space="preserve">el total de servidores públicos con los que cuenta la Fiscalía Especializada en </w:t>
      </w:r>
      <w:proofErr w:type="spellStart"/>
      <w:r w:rsidR="00215E6F" w:rsidRPr="00F701F7">
        <w:rPr>
          <w:rFonts w:ascii="Palatino Linotype" w:hAnsi="Palatino Linotype" w:cs="Arial"/>
          <w:sz w:val="24"/>
          <w:szCs w:val="24"/>
        </w:rPr>
        <w:t>Feminicidios</w:t>
      </w:r>
      <w:proofErr w:type="spellEnd"/>
      <w:r w:rsidR="00215E6F" w:rsidRPr="00F701F7">
        <w:rPr>
          <w:rFonts w:ascii="Palatino Linotype" w:hAnsi="Palatino Linotype" w:cs="Arial"/>
          <w:sz w:val="24"/>
          <w:szCs w:val="24"/>
        </w:rPr>
        <w:t xml:space="preserve"> del Estado de México, la </w:t>
      </w:r>
      <w:r w:rsidR="00215E6F" w:rsidRPr="00F701F7">
        <w:rPr>
          <w:rFonts w:ascii="Palatino Linotype" w:hAnsi="Palatino Linotype"/>
          <w:color w:val="000000"/>
          <w:sz w:val="24"/>
          <w:szCs w:val="24"/>
        </w:rPr>
        <w:t xml:space="preserve">estructura Orgánica, el organigrama de </w:t>
      </w:r>
      <w:r w:rsidR="00215E6F" w:rsidRPr="00F701F7">
        <w:rPr>
          <w:rFonts w:ascii="Palatino Linotype" w:hAnsi="Palatino Linotype" w:cs="Arial"/>
          <w:sz w:val="24"/>
          <w:szCs w:val="24"/>
        </w:rPr>
        <w:t xml:space="preserve">la Fiscalía Especializada en </w:t>
      </w:r>
      <w:proofErr w:type="spellStart"/>
      <w:r w:rsidR="00215E6F" w:rsidRPr="00F701F7">
        <w:rPr>
          <w:rFonts w:ascii="Palatino Linotype" w:hAnsi="Palatino Linotype" w:cs="Arial"/>
          <w:sz w:val="24"/>
          <w:szCs w:val="24"/>
        </w:rPr>
        <w:t>Feminicidios</w:t>
      </w:r>
      <w:proofErr w:type="spellEnd"/>
      <w:r w:rsidR="00215E6F" w:rsidRPr="00F701F7">
        <w:rPr>
          <w:rFonts w:ascii="Palatino Linotype" w:hAnsi="Palatino Linotype" w:cs="Arial"/>
          <w:sz w:val="24"/>
          <w:szCs w:val="24"/>
        </w:rPr>
        <w:t xml:space="preserve"> del Estado de México</w:t>
      </w:r>
      <w:r w:rsidR="00215E6F" w:rsidRPr="00F701F7">
        <w:rPr>
          <w:rFonts w:ascii="Palatino Linotype" w:hAnsi="Palatino Linotype"/>
          <w:color w:val="000000"/>
          <w:sz w:val="24"/>
          <w:szCs w:val="24"/>
        </w:rPr>
        <w:t xml:space="preserve"> así como las facultades, metas y objetivos y el perfil de puestos de </w:t>
      </w:r>
      <w:r w:rsidR="00215E6F" w:rsidRPr="00F701F7">
        <w:rPr>
          <w:rFonts w:ascii="Palatino Linotype" w:hAnsi="Palatino Linotype" w:cs="Arial"/>
          <w:sz w:val="24"/>
          <w:szCs w:val="24"/>
        </w:rPr>
        <w:t xml:space="preserve">la Fiscalía Especializada en </w:t>
      </w:r>
      <w:proofErr w:type="spellStart"/>
      <w:r w:rsidR="00215E6F" w:rsidRPr="00F701F7">
        <w:rPr>
          <w:rFonts w:ascii="Palatino Linotype" w:hAnsi="Palatino Linotype" w:cs="Arial"/>
          <w:sz w:val="24"/>
          <w:szCs w:val="24"/>
        </w:rPr>
        <w:t>Feminicidios</w:t>
      </w:r>
      <w:proofErr w:type="spellEnd"/>
      <w:r w:rsidR="00215E6F" w:rsidRPr="00F701F7">
        <w:rPr>
          <w:rFonts w:ascii="Palatino Linotype" w:hAnsi="Palatino Linotype" w:cs="Arial"/>
          <w:sz w:val="24"/>
          <w:szCs w:val="24"/>
        </w:rPr>
        <w:t xml:space="preserve"> del Estado de México, y únicamente se entregó </w:t>
      </w:r>
      <w:r w:rsidR="00215E6F" w:rsidRPr="00F701F7">
        <w:rPr>
          <w:rFonts w:ascii="Palatino Linotype" w:hAnsi="Palatino Linotype"/>
          <w:sz w:val="24"/>
          <w:szCs w:val="24"/>
        </w:rPr>
        <w:t xml:space="preserve">el Organigrama </w:t>
      </w:r>
      <w:r w:rsidR="00215E6F" w:rsidRPr="00F701F7">
        <w:rPr>
          <w:rFonts w:ascii="Palatino Linotype" w:hAnsi="Palatino Linotype"/>
          <w:b/>
          <w:sz w:val="24"/>
          <w:szCs w:val="24"/>
          <w:u w:val="single"/>
        </w:rPr>
        <w:t>de la Fiscalía General de Justicia del Estado de México</w:t>
      </w:r>
      <w:r w:rsidR="00215E6F" w:rsidRPr="00F701F7">
        <w:rPr>
          <w:rFonts w:ascii="Palatino Linotype" w:hAnsi="Palatino Linotype"/>
          <w:sz w:val="24"/>
          <w:szCs w:val="24"/>
        </w:rPr>
        <w:t xml:space="preserve">, asimismo manifestó que el número de servidores públicos adscritos a la </w:t>
      </w:r>
      <w:r w:rsidR="00215E6F" w:rsidRPr="00F701F7">
        <w:rPr>
          <w:rFonts w:ascii="Palatino Linotype" w:hAnsi="Palatino Linotype"/>
          <w:b/>
          <w:sz w:val="24"/>
          <w:szCs w:val="24"/>
          <w:u w:val="single"/>
        </w:rPr>
        <w:t xml:space="preserve">Fiscalía especializada en </w:t>
      </w:r>
      <w:proofErr w:type="spellStart"/>
      <w:r w:rsidR="00215E6F" w:rsidRPr="00F701F7">
        <w:rPr>
          <w:rFonts w:ascii="Palatino Linotype" w:hAnsi="Palatino Linotype"/>
          <w:b/>
          <w:sz w:val="24"/>
          <w:szCs w:val="24"/>
          <w:u w:val="single"/>
        </w:rPr>
        <w:t>Feminicidios</w:t>
      </w:r>
      <w:proofErr w:type="spellEnd"/>
      <w:r w:rsidR="00215E6F" w:rsidRPr="00F701F7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215E6F" w:rsidRPr="00F701F7">
        <w:rPr>
          <w:rFonts w:ascii="Palatino Linotype" w:hAnsi="Palatino Linotype"/>
          <w:sz w:val="24"/>
          <w:szCs w:val="24"/>
        </w:rPr>
        <w:t xml:space="preserve">era un total de 90 elementos, por lo que hace a las facultades y metas remitió una liga electrónica que dirige al Acuerdo 06/2011, publicado en la Gaceta del Gobierno de fecha 20 de julio del 2011, a través del cual se crea la Fiscalía Especializada de </w:t>
      </w:r>
      <w:proofErr w:type="spellStart"/>
      <w:r w:rsidR="00215E6F" w:rsidRPr="00F701F7">
        <w:rPr>
          <w:rFonts w:ascii="Palatino Linotype" w:hAnsi="Palatino Linotype"/>
          <w:sz w:val="24"/>
          <w:szCs w:val="24"/>
        </w:rPr>
        <w:t>Feminicidios</w:t>
      </w:r>
      <w:proofErr w:type="spellEnd"/>
      <w:r w:rsidR="00215E6F" w:rsidRPr="00F701F7">
        <w:rPr>
          <w:rFonts w:ascii="Palatino Linotype" w:hAnsi="Palatino Linotype"/>
          <w:sz w:val="24"/>
          <w:szCs w:val="24"/>
        </w:rPr>
        <w:t xml:space="preserve"> </w:t>
      </w:r>
      <w:hyperlink r:id="rId8" w:history="1">
        <w:r w:rsidR="00215E6F" w:rsidRPr="00F701F7">
          <w:rPr>
            <w:rStyle w:val="Hipervnculo"/>
            <w:rFonts w:ascii="Palatino Linotype" w:hAnsi="Palatino Linotype"/>
            <w:sz w:val="24"/>
            <w:szCs w:val="24"/>
          </w:rPr>
          <w:t>https://legislacion.edomex.gob.mx/sites/legislacion.edomex.gob.mx/files/files/pdf/gct/2011/jul201.PDF</w:t>
        </w:r>
      </w:hyperlink>
      <w:r w:rsidR="00215E6F" w:rsidRPr="00F701F7">
        <w:rPr>
          <w:rFonts w:ascii="Palatino Linotype" w:hAnsi="Palatino Linotype"/>
          <w:sz w:val="24"/>
          <w:szCs w:val="24"/>
        </w:rPr>
        <w:t xml:space="preserve">. En cuanto al objetivo hizo del conocimiento que era el instrumentar los mecanismos que permitan a la </w:t>
      </w:r>
      <w:r w:rsidR="00215E6F" w:rsidRPr="00F701F7">
        <w:rPr>
          <w:rFonts w:ascii="Palatino Linotype" w:hAnsi="Palatino Linotype"/>
          <w:b/>
          <w:sz w:val="24"/>
          <w:szCs w:val="24"/>
          <w:u w:val="single"/>
        </w:rPr>
        <w:t>Fiscalía General de Justicia del Estado de México</w:t>
      </w:r>
      <w:r w:rsidR="00215E6F" w:rsidRPr="00F701F7">
        <w:rPr>
          <w:rFonts w:ascii="Palatino Linotype" w:hAnsi="Palatino Linotype"/>
          <w:sz w:val="24"/>
          <w:szCs w:val="24"/>
        </w:rPr>
        <w:t>, velar por la legalidad y por el respeto a los derechos de los ciudadanos en la esfera de su competencia, para asegurar a la sociedad mexiquense la debida protección de su integridad física y patrimonial mediante la pronta, expedita y debida procuración e impartición de justicia, sin colmar así el derecho de acceso a la información.</w:t>
      </w:r>
    </w:p>
    <w:p w:rsidR="00215E6F" w:rsidRPr="00215E6F" w:rsidRDefault="00215E6F" w:rsidP="00215E6F">
      <w:pPr>
        <w:pStyle w:val="Prrafodelista"/>
        <w:spacing w:before="240" w:after="240" w:line="360" w:lineRule="auto"/>
        <w:ind w:left="0"/>
        <w:jc w:val="both"/>
        <w:rPr>
          <w:rFonts w:ascii="Palatino Linotype" w:hAnsi="Palatino Linotype" w:cs="Arial"/>
          <w:sz w:val="24"/>
          <w:szCs w:val="24"/>
        </w:rPr>
      </w:pPr>
    </w:p>
    <w:p w:rsidR="00467FD5" w:rsidRDefault="00467FD5" w:rsidP="00A92A4F">
      <w:pPr>
        <w:pStyle w:val="Prrafodelista"/>
        <w:numPr>
          <w:ilvl w:val="0"/>
          <w:numId w:val="1"/>
        </w:numPr>
        <w:spacing w:after="0" w:line="360" w:lineRule="auto"/>
        <w:ind w:left="0" w:right="49" w:firstLine="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Toda vez que el artículo 166 del ordenamiento jurídico citado, claramente también señala que: “La obligación de acceso a la información pública se tendrá por cumplida </w:t>
      </w:r>
      <w:r w:rsidRPr="00E661C7">
        <w:rPr>
          <w:rFonts w:ascii="Palatino Linotype" w:hAnsi="Palatino Linotype" w:cs="Arial"/>
          <w:b/>
          <w:i/>
          <w:sz w:val="24"/>
          <w:szCs w:val="24"/>
        </w:rPr>
        <w:t>cuando el solicitante tenga a su disposición la información requerida</w:t>
      </w:r>
      <w:r>
        <w:rPr>
          <w:rFonts w:ascii="Palatino Linotype" w:hAnsi="Palatino Linotype" w:cs="Arial"/>
          <w:sz w:val="24"/>
          <w:szCs w:val="24"/>
        </w:rPr>
        <w:t xml:space="preserve">, o cuando realice la consulta de la misma en el lugar en el que ésta se localice. </w:t>
      </w:r>
    </w:p>
    <w:p w:rsidR="00FB14DD" w:rsidRDefault="00FB14DD" w:rsidP="00FB14DD">
      <w:pPr>
        <w:pStyle w:val="Prrafodelista"/>
        <w:spacing w:after="0" w:line="360" w:lineRule="auto"/>
        <w:ind w:left="0"/>
        <w:jc w:val="both"/>
        <w:rPr>
          <w:rFonts w:ascii="Palatino Linotype" w:hAnsi="Palatino Linotype" w:cs="Arial"/>
          <w:sz w:val="24"/>
          <w:szCs w:val="24"/>
        </w:rPr>
      </w:pPr>
    </w:p>
    <w:p w:rsidR="00467FD5" w:rsidRPr="00F701F7" w:rsidRDefault="00467FD5" w:rsidP="00F701F7">
      <w:pPr>
        <w:pStyle w:val="Prrafodelista"/>
        <w:numPr>
          <w:ilvl w:val="0"/>
          <w:numId w:val="1"/>
        </w:numPr>
        <w:spacing w:after="0" w:line="360" w:lineRule="auto"/>
        <w:ind w:left="0" w:right="49" w:firstLine="0"/>
        <w:jc w:val="both"/>
        <w:rPr>
          <w:rFonts w:ascii="Palatino Linotype" w:hAnsi="Palatino Linotype" w:cs="Arial"/>
          <w:b/>
          <w:color w:val="000000" w:themeColor="text1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Por lo tanto de los preceptos jurídicos citados, se colige, que si bien en un primer momento </w:t>
      </w:r>
      <w:r w:rsidR="00F701F7">
        <w:rPr>
          <w:rFonts w:ascii="Palatino Linotype" w:hAnsi="Palatino Linotype" w:cs="Arial"/>
          <w:sz w:val="24"/>
          <w:szCs w:val="24"/>
        </w:rPr>
        <w:t>se entrega parte de la información, también lo es que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Pr="000D2D69">
        <w:rPr>
          <w:rFonts w:ascii="Palatino Linotype" w:hAnsi="Palatino Linotype" w:cs="Arial"/>
          <w:sz w:val="24"/>
          <w:szCs w:val="24"/>
          <w:u w:val="single"/>
        </w:rPr>
        <w:t>no se tiene por cumplida la obligación de acceso a la información pública</w:t>
      </w:r>
      <w:r>
        <w:rPr>
          <w:rFonts w:ascii="Palatino Linotype" w:hAnsi="Palatino Linotype" w:cs="Arial"/>
          <w:sz w:val="24"/>
          <w:szCs w:val="24"/>
        </w:rPr>
        <w:t xml:space="preserve"> toda vez, que</w:t>
      </w:r>
      <w:r w:rsidR="00697347">
        <w:rPr>
          <w:rFonts w:ascii="Palatino Linotype" w:hAnsi="Palatino Linotype" w:cs="Arial"/>
          <w:sz w:val="24"/>
          <w:szCs w:val="24"/>
        </w:rPr>
        <w:t xml:space="preserve"> no fue </w:t>
      </w:r>
      <w:r w:rsidR="00F701F7">
        <w:rPr>
          <w:rFonts w:ascii="Palatino Linotype" w:hAnsi="Palatino Linotype" w:cs="Arial"/>
          <w:sz w:val="24"/>
          <w:szCs w:val="24"/>
        </w:rPr>
        <w:t xml:space="preserve">entregada la información relativa a </w:t>
      </w:r>
      <w:r w:rsidR="00F701F7">
        <w:rPr>
          <w:rFonts w:ascii="Palatino Linotype" w:hAnsi="Palatino Linotype" w:cs="Arial"/>
          <w:color w:val="000000" w:themeColor="text1"/>
          <w:sz w:val="24"/>
          <w:szCs w:val="24"/>
        </w:rPr>
        <w:t xml:space="preserve">los objetivos que son asignados a la </w:t>
      </w:r>
      <w:r w:rsidR="00F701F7" w:rsidRPr="00F701F7">
        <w:rPr>
          <w:rFonts w:ascii="Palatino Linotype" w:hAnsi="Palatino Linotype"/>
          <w:b/>
          <w:sz w:val="24"/>
          <w:szCs w:val="24"/>
          <w:u w:val="single"/>
        </w:rPr>
        <w:t xml:space="preserve">Fiscalía especializada en </w:t>
      </w:r>
      <w:proofErr w:type="spellStart"/>
      <w:r w:rsidR="00F701F7" w:rsidRPr="00F701F7">
        <w:rPr>
          <w:rFonts w:ascii="Palatino Linotype" w:hAnsi="Palatino Linotype"/>
          <w:b/>
          <w:sz w:val="24"/>
          <w:szCs w:val="24"/>
          <w:u w:val="single"/>
        </w:rPr>
        <w:t>Feminicidios</w:t>
      </w:r>
      <w:proofErr w:type="spellEnd"/>
      <w:r w:rsidR="00F701F7">
        <w:rPr>
          <w:rFonts w:ascii="Palatino Linotype" w:hAnsi="Palatino Linotype" w:cs="Arial"/>
          <w:color w:val="000000" w:themeColor="text1"/>
          <w:sz w:val="24"/>
          <w:szCs w:val="24"/>
        </w:rPr>
        <w:t xml:space="preserve"> de manera específica, no así el objetivo que en lo general tiene la </w:t>
      </w:r>
      <w:r w:rsidR="00F701F7" w:rsidRPr="00F701F7">
        <w:rPr>
          <w:rFonts w:ascii="Palatino Linotype" w:hAnsi="Palatino Linotype"/>
          <w:b/>
          <w:sz w:val="24"/>
          <w:szCs w:val="24"/>
          <w:u w:val="single"/>
        </w:rPr>
        <w:t>Fiscalía General de Justicia del Estado de México</w:t>
      </w:r>
      <w:r w:rsidR="00F701F7">
        <w:rPr>
          <w:rFonts w:ascii="Palatino Linotype" w:hAnsi="Palatino Linotype" w:cs="Arial"/>
          <w:color w:val="000000" w:themeColor="text1"/>
          <w:sz w:val="24"/>
          <w:szCs w:val="24"/>
        </w:rPr>
        <w:t xml:space="preserve"> como un Organismo</w:t>
      </w:r>
      <w:r w:rsidRPr="00F701F7">
        <w:rPr>
          <w:rFonts w:ascii="Palatino Linotype" w:hAnsi="Palatino Linotype" w:cs="Arial"/>
          <w:sz w:val="24"/>
          <w:szCs w:val="24"/>
        </w:rPr>
        <w:t>, por lo tanto el particular no tuvo a su disposición de manera expedita y sencilla la información, sino que, se vio en la necesidad de interponer el recurso de revisión.</w:t>
      </w:r>
    </w:p>
    <w:p w:rsidR="00F701F7" w:rsidRPr="00F701F7" w:rsidRDefault="00F701F7" w:rsidP="00F701F7">
      <w:pPr>
        <w:pStyle w:val="Prrafodelista"/>
        <w:spacing w:after="0" w:line="360" w:lineRule="auto"/>
        <w:ind w:left="0" w:right="49"/>
        <w:jc w:val="both"/>
        <w:rPr>
          <w:rFonts w:ascii="Palatino Linotype" w:hAnsi="Palatino Linotype" w:cs="Arial"/>
          <w:b/>
          <w:color w:val="000000" w:themeColor="text1"/>
          <w:sz w:val="24"/>
          <w:szCs w:val="24"/>
        </w:rPr>
      </w:pPr>
    </w:p>
    <w:p w:rsidR="00467FD5" w:rsidRDefault="00467FD5" w:rsidP="00467FD5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Ahora bien, si bien es cierto que la ponencia, realiza la suplencia en la deficiencia de</w:t>
      </w:r>
      <w:r w:rsidR="00F701F7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l</w:t>
      </w:r>
      <w:r w:rsidR="00F701F7">
        <w:rPr>
          <w:rFonts w:ascii="Palatino Linotype" w:hAnsi="Palatino Linotype" w:cs="Arial"/>
          <w:sz w:val="24"/>
          <w:szCs w:val="24"/>
        </w:rPr>
        <w:t>a respuesta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F701F7">
        <w:rPr>
          <w:rFonts w:ascii="Palatino Linotype" w:hAnsi="Palatino Linotype" w:cs="Arial"/>
          <w:sz w:val="24"/>
          <w:szCs w:val="24"/>
        </w:rPr>
        <w:t>pretendiendo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030642">
        <w:rPr>
          <w:rFonts w:ascii="Palatino Linotype" w:hAnsi="Palatino Linotype" w:cs="Arial"/>
          <w:sz w:val="24"/>
          <w:szCs w:val="24"/>
        </w:rPr>
        <w:t>validar un punto</w:t>
      </w:r>
      <w:r>
        <w:rPr>
          <w:rFonts w:ascii="Palatino Linotype" w:hAnsi="Palatino Linotype" w:cs="Arial"/>
          <w:sz w:val="24"/>
          <w:szCs w:val="24"/>
        </w:rPr>
        <w:t xml:space="preserve">, también lo es que se debe hacer saber al </w:t>
      </w:r>
      <w:r>
        <w:rPr>
          <w:rFonts w:ascii="Palatino Linotype" w:hAnsi="Palatino Linotype" w:cs="Arial"/>
          <w:b/>
          <w:sz w:val="24"/>
          <w:szCs w:val="24"/>
        </w:rPr>
        <w:t xml:space="preserve">SUJETO OBLIGADO, </w:t>
      </w:r>
      <w:r>
        <w:rPr>
          <w:rFonts w:ascii="Palatino Linotype" w:hAnsi="Palatino Linotype" w:cs="Arial"/>
          <w:sz w:val="24"/>
          <w:szCs w:val="24"/>
        </w:rPr>
        <w:t xml:space="preserve">debe tener especial cuidado y observar cada uno de los </w:t>
      </w:r>
      <w:r w:rsidR="00030642">
        <w:rPr>
          <w:rFonts w:ascii="Palatino Linotype" w:hAnsi="Palatino Linotype" w:cs="Arial"/>
          <w:sz w:val="24"/>
          <w:szCs w:val="24"/>
        </w:rPr>
        <w:t>requerimientos planteados</w:t>
      </w:r>
      <w:r>
        <w:rPr>
          <w:rFonts w:ascii="Palatino Linotype" w:hAnsi="Palatino Linotype" w:cs="Arial"/>
          <w:sz w:val="24"/>
          <w:szCs w:val="24"/>
        </w:rPr>
        <w:t xml:space="preserve"> para atender la solicitud de información, ya que de lo contrario, en forma reiterada sucederá lo ocurrido en el presente asunto y esto implica no se dé cabal cumplimiento a los principios, bases y procedimientos, establecidos en la Ley de la materia, encaminados a tutelar y garantizar el Derecho de Acceso a la Información Pública. </w:t>
      </w:r>
    </w:p>
    <w:p w:rsidR="00467FD5" w:rsidRPr="000D79A0" w:rsidRDefault="00467FD5" w:rsidP="00FB14DD">
      <w:pPr>
        <w:pStyle w:val="Prrafodelista"/>
        <w:ind w:left="0"/>
        <w:rPr>
          <w:rFonts w:ascii="Palatino Linotype" w:hAnsi="Palatino Linotype" w:cs="Arial"/>
          <w:sz w:val="24"/>
          <w:szCs w:val="24"/>
        </w:rPr>
      </w:pPr>
    </w:p>
    <w:p w:rsidR="00030642" w:rsidRPr="00030642" w:rsidRDefault="00FB14DD" w:rsidP="00030642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es-ES_tradnl"/>
        </w:rPr>
        <w:t>En consecuencia</w:t>
      </w:r>
      <w:r w:rsidR="00467FD5">
        <w:rPr>
          <w:rFonts w:ascii="Palatino Linotype" w:hAnsi="Palatino Linotype"/>
          <w:sz w:val="24"/>
          <w:szCs w:val="24"/>
          <w:lang w:val="es-ES_tradnl"/>
        </w:rPr>
        <w:t xml:space="preserve"> </w:t>
      </w:r>
      <w:r w:rsidR="00803FE6">
        <w:rPr>
          <w:rFonts w:ascii="Palatino Linotype" w:hAnsi="Palatino Linotype"/>
          <w:sz w:val="24"/>
          <w:szCs w:val="24"/>
          <w:lang w:val="es-ES_tradnl"/>
        </w:rPr>
        <w:t>dicha información</w:t>
      </w:r>
      <w:r w:rsidRPr="00567E11">
        <w:rPr>
          <w:rFonts w:ascii="Palatino Linotype" w:hAnsi="Palatino Linotype" w:cs="Arial"/>
          <w:sz w:val="24"/>
          <w:szCs w:val="24"/>
        </w:rPr>
        <w:t xml:space="preserve"> </w:t>
      </w:r>
      <w:r w:rsidR="00467FD5">
        <w:rPr>
          <w:rFonts w:ascii="Palatino Linotype" w:hAnsi="Palatino Linotype"/>
          <w:sz w:val="24"/>
          <w:szCs w:val="24"/>
          <w:lang w:val="es-ES_tradnl"/>
        </w:rPr>
        <w:t xml:space="preserve">no </w:t>
      </w:r>
      <w:r w:rsidR="00030642">
        <w:rPr>
          <w:rFonts w:ascii="Palatino Linotype" w:hAnsi="Palatino Linotype"/>
          <w:sz w:val="24"/>
          <w:szCs w:val="24"/>
          <w:lang w:val="es-ES_tradnl"/>
        </w:rPr>
        <w:t xml:space="preserve">cumple con la pretensión </w:t>
      </w:r>
      <w:r w:rsidR="00467FD5">
        <w:rPr>
          <w:rFonts w:ascii="Palatino Linotype" w:hAnsi="Palatino Linotype"/>
          <w:sz w:val="24"/>
          <w:szCs w:val="24"/>
          <w:lang w:val="es-ES_tradnl"/>
        </w:rPr>
        <w:t xml:space="preserve">del particular, </w:t>
      </w:r>
      <w:r w:rsidR="002475DD">
        <w:rPr>
          <w:rFonts w:ascii="Palatino Linotype" w:hAnsi="Palatino Linotype"/>
          <w:sz w:val="24"/>
          <w:szCs w:val="24"/>
          <w:lang w:val="es-ES_tradnl"/>
        </w:rPr>
        <w:t xml:space="preserve">por lo que </w:t>
      </w:r>
      <w:r w:rsidR="00467FD5">
        <w:rPr>
          <w:rFonts w:ascii="Palatino Linotype" w:hAnsi="Palatino Linotype" w:cs="Arial"/>
          <w:sz w:val="24"/>
          <w:szCs w:val="24"/>
        </w:rPr>
        <w:t xml:space="preserve">también </w:t>
      </w:r>
      <w:r w:rsidR="002475DD">
        <w:rPr>
          <w:rFonts w:ascii="Palatino Linotype" w:hAnsi="Palatino Linotype" w:cs="Arial"/>
          <w:sz w:val="24"/>
          <w:szCs w:val="24"/>
        </w:rPr>
        <w:t xml:space="preserve">se </w:t>
      </w:r>
      <w:r w:rsidR="00030642">
        <w:rPr>
          <w:rFonts w:ascii="Palatino Linotype" w:hAnsi="Palatino Linotype" w:cs="Arial"/>
          <w:sz w:val="24"/>
          <w:szCs w:val="24"/>
        </w:rPr>
        <w:t xml:space="preserve">debe hacer saber a la </w:t>
      </w:r>
      <w:r w:rsidR="00030642" w:rsidRPr="00030642">
        <w:rPr>
          <w:rFonts w:ascii="Palatino Linotype" w:hAnsi="Palatino Linotype" w:cs="Arial"/>
          <w:b/>
          <w:sz w:val="24"/>
          <w:szCs w:val="24"/>
        </w:rPr>
        <w:t>Fiscalía General de Justicia del Estado de México</w:t>
      </w:r>
      <w:r w:rsidR="00467FD5" w:rsidRPr="00064D2B">
        <w:rPr>
          <w:rFonts w:ascii="Palatino Linotype" w:hAnsi="Palatino Linotype" w:cs="Arial"/>
          <w:b/>
          <w:sz w:val="24"/>
          <w:szCs w:val="24"/>
        </w:rPr>
        <w:t xml:space="preserve">, </w:t>
      </w:r>
      <w:r w:rsidR="00467FD5">
        <w:rPr>
          <w:rFonts w:ascii="Palatino Linotype" w:hAnsi="Palatino Linotype" w:cs="Arial"/>
          <w:sz w:val="24"/>
          <w:szCs w:val="24"/>
        </w:rPr>
        <w:t xml:space="preserve">que </w:t>
      </w:r>
      <w:r w:rsidR="00467FD5" w:rsidRPr="00064D2B">
        <w:rPr>
          <w:rFonts w:ascii="Palatino Linotype" w:hAnsi="Palatino Linotype" w:cs="Arial"/>
          <w:sz w:val="24"/>
          <w:szCs w:val="24"/>
        </w:rPr>
        <w:t xml:space="preserve">por las facultades y obligaciones que la ley de la materia dispone, </w:t>
      </w:r>
      <w:r w:rsidR="00467FD5">
        <w:rPr>
          <w:rFonts w:ascii="Palatino Linotype" w:hAnsi="Palatino Linotype" w:cs="Arial"/>
          <w:sz w:val="24"/>
          <w:szCs w:val="24"/>
        </w:rPr>
        <w:t>debe tener especial cuidado al momento de responder a una solicitud observando cada paso necesario para poner a disposición del particular la información solicitada, y de esta forma dar conclusión al procedimiento de acceso a la información pública la cual como la</w:t>
      </w:r>
      <w:r w:rsidR="00814B3F">
        <w:rPr>
          <w:rFonts w:ascii="Palatino Linotype" w:hAnsi="Palatino Linotype" w:cs="Arial"/>
          <w:sz w:val="24"/>
          <w:szCs w:val="24"/>
        </w:rPr>
        <w:t xml:space="preserve"> Ley de la materia lo dispone, </w:t>
      </w:r>
      <w:r w:rsidR="00467FD5">
        <w:rPr>
          <w:rFonts w:ascii="Palatino Linotype" w:hAnsi="Palatino Linotype" w:cs="Arial"/>
          <w:sz w:val="24"/>
          <w:szCs w:val="24"/>
        </w:rPr>
        <w:t xml:space="preserve">se tendrá por cumplida cuando el solicitante tenga a su disposición la información requerida. </w:t>
      </w:r>
    </w:p>
    <w:p w:rsidR="00030642" w:rsidRDefault="00030642" w:rsidP="002475DD">
      <w:pPr>
        <w:pStyle w:val="Prrafodelista"/>
        <w:spacing w:after="0" w:line="360" w:lineRule="auto"/>
        <w:ind w:left="0"/>
        <w:jc w:val="both"/>
        <w:rPr>
          <w:rFonts w:ascii="Palatino Linotype" w:hAnsi="Palatino Linotype" w:cs="Arial"/>
          <w:sz w:val="24"/>
          <w:szCs w:val="24"/>
        </w:rPr>
      </w:pPr>
    </w:p>
    <w:p w:rsidR="00030642" w:rsidRPr="00064D2B" w:rsidRDefault="00030642" w:rsidP="002475DD">
      <w:pPr>
        <w:pStyle w:val="Prrafodelista"/>
        <w:spacing w:after="0" w:line="360" w:lineRule="auto"/>
        <w:ind w:left="0"/>
        <w:jc w:val="both"/>
        <w:rPr>
          <w:rFonts w:ascii="Palatino Linotype" w:hAnsi="Palatino Linotype" w:cs="Arial"/>
          <w:sz w:val="24"/>
          <w:szCs w:val="24"/>
        </w:rPr>
      </w:pPr>
    </w:p>
    <w:p w:rsidR="00467FD5" w:rsidRPr="001C3008" w:rsidRDefault="00467FD5" w:rsidP="00030642">
      <w:pPr>
        <w:spacing w:line="276" w:lineRule="auto"/>
        <w:jc w:val="center"/>
        <w:rPr>
          <w:rFonts w:ascii="Palatino Linotype" w:eastAsia="Calibri" w:hAnsi="Palatino Linotype" w:cs="Arial"/>
          <w:b/>
          <w:sz w:val="24"/>
          <w:szCs w:val="24"/>
        </w:rPr>
      </w:pPr>
      <w:r w:rsidRPr="001C3008">
        <w:rPr>
          <w:rFonts w:ascii="Palatino Linotype" w:eastAsia="Calibri" w:hAnsi="Palatino Linotype" w:cs="Arial"/>
          <w:b/>
          <w:sz w:val="24"/>
          <w:szCs w:val="24"/>
        </w:rPr>
        <w:t>JOSÉ GUADALUPE LUNA HERNÁNDEZ</w:t>
      </w:r>
    </w:p>
    <w:p w:rsidR="00467FD5" w:rsidRDefault="00467FD5" w:rsidP="00030642">
      <w:pPr>
        <w:spacing w:line="276" w:lineRule="auto"/>
        <w:jc w:val="center"/>
        <w:rPr>
          <w:rFonts w:ascii="Palatino Linotype" w:eastAsia="Calibri" w:hAnsi="Palatino Linotype" w:cs="Arial"/>
          <w:b/>
          <w:sz w:val="24"/>
          <w:szCs w:val="24"/>
        </w:rPr>
      </w:pPr>
      <w:r>
        <w:rPr>
          <w:rFonts w:ascii="Palatino Linotype" w:eastAsia="Calibri" w:hAnsi="Palatino Linotype" w:cs="Arial"/>
          <w:b/>
          <w:sz w:val="24"/>
          <w:szCs w:val="24"/>
        </w:rPr>
        <w:t>C</w:t>
      </w:r>
      <w:r w:rsidRPr="001C3008">
        <w:rPr>
          <w:rFonts w:ascii="Palatino Linotype" w:eastAsia="Calibri" w:hAnsi="Palatino Linotype" w:cs="Arial"/>
          <w:b/>
          <w:sz w:val="24"/>
          <w:szCs w:val="24"/>
        </w:rPr>
        <w:t>OMISIONADO</w:t>
      </w:r>
    </w:p>
    <w:p w:rsidR="00797A31" w:rsidRPr="00030642" w:rsidRDefault="00030642" w:rsidP="00102360">
      <w:pPr>
        <w:rPr>
          <w:sz w:val="16"/>
          <w:szCs w:val="16"/>
        </w:rPr>
      </w:pPr>
      <w:r w:rsidRPr="00030642">
        <w:rPr>
          <w:sz w:val="16"/>
          <w:szCs w:val="16"/>
        </w:rPr>
        <w:t>ECD</w:t>
      </w:r>
    </w:p>
    <w:sectPr w:rsidR="00797A31" w:rsidRPr="00030642" w:rsidSect="00BB488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2495" w:right="1701" w:bottom="249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6FB" w:rsidRDefault="00AC26FB" w:rsidP="00E82D3D">
      <w:pPr>
        <w:spacing w:after="0" w:line="240" w:lineRule="auto"/>
      </w:pPr>
      <w:r>
        <w:separator/>
      </w:r>
    </w:p>
  </w:endnote>
  <w:endnote w:type="continuationSeparator" w:id="0">
    <w:p w:rsidR="00AC26FB" w:rsidRDefault="00AC26FB" w:rsidP="00E8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097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B488C" w:rsidRDefault="00BB488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FB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FB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488C" w:rsidRDefault="00BB488C" w:rsidP="00BB488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6FB" w:rsidRDefault="00AC26FB" w:rsidP="00E82D3D">
      <w:pPr>
        <w:spacing w:after="0" w:line="240" w:lineRule="auto"/>
      </w:pPr>
      <w:r>
        <w:separator/>
      </w:r>
    </w:p>
  </w:footnote>
  <w:footnote w:type="continuationSeparator" w:id="0">
    <w:p w:rsidR="00AC26FB" w:rsidRDefault="00AC26FB" w:rsidP="00E8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8C" w:rsidRDefault="00735FB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5" o:spid="_x0000_s2049" type="#_x0000_t136" style="position:absolute;margin-left:0;margin-top:0;width:557.4pt;height:65.5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8C" w:rsidRDefault="00735FB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6" o:spid="_x0000_s2050" type="#_x0000_t136" style="position:absolute;margin-left:0;margin-top:0;width:557.4pt;height:65.55pt;rotation:315;z-index:-251656192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  <w:p w:rsidR="00BB488C" w:rsidRDefault="00BB488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8C" w:rsidRDefault="00735FB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08734" o:spid="_x0000_s2051" type="#_x0000_t136" style="position:absolute;margin-left:0;margin-top:0;width:557.4pt;height:65.5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Arial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2990"/>
    <w:multiLevelType w:val="hybridMultilevel"/>
    <w:tmpl w:val="75F25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536C8"/>
    <w:multiLevelType w:val="hybridMultilevel"/>
    <w:tmpl w:val="90EEA5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53564"/>
    <w:multiLevelType w:val="hybridMultilevel"/>
    <w:tmpl w:val="046A94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E2722"/>
    <w:multiLevelType w:val="hybridMultilevel"/>
    <w:tmpl w:val="27EAC4F4"/>
    <w:lvl w:ilvl="0" w:tplc="488A51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E5810"/>
    <w:multiLevelType w:val="hybridMultilevel"/>
    <w:tmpl w:val="A23C67D2"/>
    <w:lvl w:ilvl="0" w:tplc="CACA3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661F8"/>
    <w:multiLevelType w:val="hybridMultilevel"/>
    <w:tmpl w:val="87F424B2"/>
    <w:lvl w:ilvl="0" w:tplc="228CA8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A3428"/>
    <w:multiLevelType w:val="hybridMultilevel"/>
    <w:tmpl w:val="E2ACA212"/>
    <w:lvl w:ilvl="0" w:tplc="30C43C30">
      <w:start w:val="4"/>
      <w:numFmt w:val="upperRoman"/>
      <w:lvlText w:val="%1."/>
      <w:lvlJc w:val="left"/>
      <w:pPr>
        <w:ind w:left="1080" w:hanging="720"/>
      </w:pPr>
      <w:rPr>
        <w:rFonts w:ascii="Palatino Linotype" w:eastAsiaTheme="majorEastAsia" w:hAnsi="Palatino Linotype" w:cstheme="majorBidi" w:hint="default"/>
        <w:b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202FA"/>
    <w:multiLevelType w:val="hybridMultilevel"/>
    <w:tmpl w:val="4B380CA8"/>
    <w:lvl w:ilvl="0" w:tplc="FE360A3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F12F1"/>
    <w:multiLevelType w:val="hybridMultilevel"/>
    <w:tmpl w:val="AA7C0C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529E6"/>
    <w:multiLevelType w:val="hybridMultilevel"/>
    <w:tmpl w:val="85C09A10"/>
    <w:lvl w:ilvl="0" w:tplc="83DCF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F448C"/>
    <w:multiLevelType w:val="hybridMultilevel"/>
    <w:tmpl w:val="92007F68"/>
    <w:lvl w:ilvl="0" w:tplc="04EAC5B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2758E"/>
    <w:multiLevelType w:val="hybridMultilevel"/>
    <w:tmpl w:val="973074AC"/>
    <w:lvl w:ilvl="0" w:tplc="545A6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60720"/>
    <w:multiLevelType w:val="hybridMultilevel"/>
    <w:tmpl w:val="ED2A17C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783247"/>
    <w:multiLevelType w:val="hybridMultilevel"/>
    <w:tmpl w:val="398AC1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934E6"/>
    <w:multiLevelType w:val="hybridMultilevel"/>
    <w:tmpl w:val="10FE3B0A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14"/>
  </w:num>
  <w:num w:numId="8">
    <w:abstractNumId w:val="7"/>
  </w:num>
  <w:num w:numId="9">
    <w:abstractNumId w:val="12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3D"/>
    <w:rsid w:val="00030642"/>
    <w:rsid w:val="00096CC2"/>
    <w:rsid w:val="000E3630"/>
    <w:rsid w:val="000F6B22"/>
    <w:rsid w:val="00102360"/>
    <w:rsid w:val="001240A5"/>
    <w:rsid w:val="001B19B4"/>
    <w:rsid w:val="00215E6F"/>
    <w:rsid w:val="00245F85"/>
    <w:rsid w:val="002475DD"/>
    <w:rsid w:val="00261390"/>
    <w:rsid w:val="002E3ED2"/>
    <w:rsid w:val="002F79FF"/>
    <w:rsid w:val="003258B6"/>
    <w:rsid w:val="00347895"/>
    <w:rsid w:val="00384DBA"/>
    <w:rsid w:val="004012BA"/>
    <w:rsid w:val="00467FD5"/>
    <w:rsid w:val="0048628E"/>
    <w:rsid w:val="00487383"/>
    <w:rsid w:val="004B660A"/>
    <w:rsid w:val="00521494"/>
    <w:rsid w:val="005556CA"/>
    <w:rsid w:val="00567E11"/>
    <w:rsid w:val="00595CEF"/>
    <w:rsid w:val="005F30BC"/>
    <w:rsid w:val="00617ACF"/>
    <w:rsid w:val="00663D00"/>
    <w:rsid w:val="00695640"/>
    <w:rsid w:val="00697347"/>
    <w:rsid w:val="006C7EA0"/>
    <w:rsid w:val="006F0A01"/>
    <w:rsid w:val="00735FB4"/>
    <w:rsid w:val="0076210C"/>
    <w:rsid w:val="00797A31"/>
    <w:rsid w:val="007A72DC"/>
    <w:rsid w:val="007D037D"/>
    <w:rsid w:val="00803FE6"/>
    <w:rsid w:val="00807E40"/>
    <w:rsid w:val="00814B3F"/>
    <w:rsid w:val="008F01E1"/>
    <w:rsid w:val="009A2D39"/>
    <w:rsid w:val="009D1ADA"/>
    <w:rsid w:val="00A92A4F"/>
    <w:rsid w:val="00AC26FB"/>
    <w:rsid w:val="00B10A0C"/>
    <w:rsid w:val="00B9285A"/>
    <w:rsid w:val="00BB488C"/>
    <w:rsid w:val="00C753D8"/>
    <w:rsid w:val="00C94C7B"/>
    <w:rsid w:val="00CA2B8E"/>
    <w:rsid w:val="00CC7CC1"/>
    <w:rsid w:val="00CF0462"/>
    <w:rsid w:val="00D613C8"/>
    <w:rsid w:val="00DD14BB"/>
    <w:rsid w:val="00DE7A32"/>
    <w:rsid w:val="00E16FFC"/>
    <w:rsid w:val="00E82D3D"/>
    <w:rsid w:val="00E9629B"/>
    <w:rsid w:val="00F30EE8"/>
    <w:rsid w:val="00F701F7"/>
    <w:rsid w:val="00FB14DD"/>
    <w:rsid w:val="00F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FE2A249-A106-482D-AF60-ED48C88A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D5"/>
  </w:style>
  <w:style w:type="paragraph" w:styleId="Ttulo1">
    <w:name w:val="heading 1"/>
    <w:basedOn w:val="Normal"/>
    <w:next w:val="Normal"/>
    <w:link w:val="Ttulo1Car"/>
    <w:uiPriority w:val="9"/>
    <w:qFormat/>
    <w:rsid w:val="00D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82D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2D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82D3D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E82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D3D"/>
  </w:style>
  <w:style w:type="paragraph" w:styleId="Encabezado">
    <w:name w:val="header"/>
    <w:basedOn w:val="Normal"/>
    <w:link w:val="EncabezadoCar"/>
    <w:uiPriority w:val="99"/>
    <w:unhideWhenUsed/>
    <w:rsid w:val="00E82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D3D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9A2D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9B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DE7A32"/>
  </w:style>
  <w:style w:type="paragraph" w:styleId="Sinespaciado">
    <w:name w:val="No Spacing"/>
    <w:aliases w:val="Francesa"/>
    <w:link w:val="SinespaciadoCar"/>
    <w:uiPriority w:val="1"/>
    <w:qFormat/>
    <w:rsid w:val="00DE7A32"/>
    <w:pPr>
      <w:spacing w:after="0"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DE7A32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E7A3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E7A32"/>
    <w:rPr>
      <w:color w:val="0563C1" w:themeColor="hyperlink"/>
      <w:u w:val="single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DE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ion.edomex.gob.mx/sites/legislacion.edomex.gob.mx/files/files/pdf/gct/2011/jul20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6B9BC-56BD-4D6F-9742-028D3207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1090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2017-01-31T20:53:00Z</cp:lastPrinted>
  <dcterms:created xsi:type="dcterms:W3CDTF">2019-06-20T18:25:00Z</dcterms:created>
  <dcterms:modified xsi:type="dcterms:W3CDTF">2019-08-12T17:06:00Z</dcterms:modified>
</cp:coreProperties>
</file>